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A LA CONSELLERIA DE EDUCACIÓN, UNIVERSIDADES Y EMPLEO DE LA GENERALITAT VALENCIANA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Dirección General de Personal Docente - Alicante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D./Dña. ________________________________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con DNI nº _________________, y domicilio a efectos de notificaciones en _________________________________, correo electrónico _________________ y teléfono _________________,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Ante esa Dirección General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COMPARECE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y, como mejor proceda en Derecho, </w:t>
      </w: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DIGO:</w:t>
      </w:r>
    </w:p>
    <w:p w:rsidR="00000000" w:rsidDel="00000000" w:rsidP="00000000" w:rsidRDefault="00000000" w:rsidRPr="00000000" w14:paraId="00000005">
      <w:pPr>
        <w:keepNext w:val="0"/>
        <w:keepLines w:val="0"/>
        <w:spacing w:before="280" w:lineRule="auto"/>
        <w:jc w:val="center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HECHOS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PRIMERO.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 ostento la condición de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funcionario/a docente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(de carrera/interino) al servicio de la Generalitat Valenciana, prestando servicios ininterrumpidos desde _________________, prestando servicios en el centro ________________.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SEGUNDO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 en las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pagas extraordinarias de junio y diciembre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percibidas durante los últimos ejercicios, la Administración ha venido abonando únicamente: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70% del sueldo base y de los trienios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100% del complemento de destino y 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100% del complemento específico.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TERCERO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Que, sin embargo, la Administración ha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excluido sistemáticamente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de las pagas extraordinarias determinados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complementos retributivos de carácter fijo y periódico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 percibo habitualmente en mis retribuciones mensuales, tales como: Complemento de formación permanente (sexenios), Complementos derivados de jefaturas de departamento, Complementos por cargos directivos, otros complementos análogos de naturaleza fija y periódica.</w:t>
      </w:r>
    </w:p>
    <w:p w:rsidR="00000000" w:rsidDel="00000000" w:rsidP="00000000" w:rsidRDefault="00000000" w:rsidRPr="00000000" w14:paraId="00000009">
      <w:pPr>
        <w:keepNext w:val="0"/>
        <w:keepLines w:val="0"/>
        <w:spacing w:before="280" w:lineRule="auto"/>
        <w:jc w:val="center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FUNDAMENTOS DE DERECHO</w:t>
      </w:r>
    </w:p>
    <w:p w:rsidR="00000000" w:rsidDel="00000000" w:rsidP="00000000" w:rsidRDefault="00000000" w:rsidRPr="00000000" w14:paraId="0000000A">
      <w:pPr>
        <w:keepNext w:val="0"/>
        <w:keepLines w:val="0"/>
        <w:spacing w:after="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A) NORMATIVA BÁSICA ESTATAL: ARTÍCULO 22.4 DEL EBEP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I.-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artículo 22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del Real Decreto Legislativo 5/2015, de 30 de octubre, por el que se aprueba el texto refundido de la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Ley del Estatuto Básico del Empleado Público (EBEP)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establece en su apartado 4: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i w:val="1"/>
          <w:iCs w:val="1"/>
          <w:sz w:val="24"/>
          <w:szCs w:val="24"/>
          <w:rtl w:val="0"/>
        </w:rPr>
        <w:t xml:space="preserve">"Las pagas extraordinarias serán dos al año, cada una por el importe de una mensualidad de retribuciones básicas y de </w:t>
      </w:r>
      <w:r w:rsidDel="00000000" w:rsidR="00000000" w:rsidRPr="00000000">
        <w:rPr>
          <w:rFonts w:ascii="Cabin" w:cs="Cabin" w:eastAsia="Cabin" w:hAnsi="Cabin"/>
          <w:i w:val="1"/>
          <w:iCs w:val="1"/>
          <w:sz w:val="24"/>
          <w:szCs w:val="24"/>
          <w:rtl w:val="0"/>
        </w:rPr>
        <w:t xml:space="preserve">la totalidad de las retribuciones complementarias</w:t>
      </w:r>
      <w:r w:rsidDel="00000000" w:rsidR="00000000" w:rsidRPr="00000000">
        <w:rPr>
          <w:rFonts w:ascii="Cabin" w:cs="Cabin" w:eastAsia="Cabin" w:hAnsi="Cabin"/>
          <w:i w:val="1"/>
          <w:iCs w:val="1"/>
          <w:sz w:val="24"/>
          <w:szCs w:val="24"/>
          <w:rtl w:val="0"/>
        </w:rPr>
        <w:t xml:space="preserve">, salvo aquéllas a las que se refieren los apartados c) y d) del artículo 24"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(productividad y gratificaciones por servicios extraordinarios).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II.-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Esta norma de carácter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básico estatal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resulta de aplicación directa y prevalente sobre cualquier disposición autonómica o presupuestaria de rango inferior, conforme al artículo 149.1.18ª de la Constitución Española.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III.-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El artículo 22.4 EBEP impone que cada paga extraordinaria debe equivaler a: 1.-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Una mensualidad COMPLETA (100%) de retribuciones básicas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: sueldo base y trienios, 2.-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La TOTALIDAD de las retribuciones complementarias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con las únicas excepciones de la productividad y las gratificaciones por servicios extraordinarios del artículo 24.c) y d) EBEP</w:t>
      </w:r>
    </w:p>
    <w:p w:rsidR="00000000" w:rsidDel="00000000" w:rsidP="00000000" w:rsidRDefault="00000000" w:rsidRPr="00000000" w14:paraId="0000000F">
      <w:pPr>
        <w:keepNext w:val="0"/>
        <w:keepLines w:val="0"/>
        <w:spacing w:after="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B) DOCTRINA DEL TRIBUNAL SUPREMO: SENTENCIAS 822/2025 Y 4420/2025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La reciente jurisprudencia del Tribunal Supremo ha consolidado de forma definitiva el criterio sobre la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integración de complementos fijos y periódicos en las pagas extraordinarias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spacing w:after="40" w:before="22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La sentencia número 822/2025, DE 25 DE JUNIO (Sala de lo Contencioso-Administrativo, Sección Cuarta)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Esta sentencia, de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efecto vinculante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establece que: Los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complementos percibidos de forma regular y continuada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(como nocturnidad, turnicidad, trabajo en festivos, guardias o formación) constituyen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retribuciones fijas y periódicas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 Cuando estos complementos se abonan de manera habitual,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forman parte de la estructura salarial ordinaria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y no pueden excluirse del cálculo de las pagas extraordinarias. La doctrina distingue entre retribuciones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fijas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(que retribuyen funciones permanentes del puesto) y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variables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(vinculadas a servicios excepcionales o esporádicos).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"Excluir estos conceptos de las pagas extraordinarias supondría desvirtuar la naturaleza de la retribución íntegra"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debiendo reflejarse todas las condiciones reales del puesto.</w:t>
      </w:r>
    </w:p>
    <w:p w:rsidR="00000000" w:rsidDel="00000000" w:rsidP="00000000" w:rsidRDefault="00000000" w:rsidRPr="00000000" w14:paraId="00000013">
      <w:pPr>
        <w:keepNext w:val="0"/>
        <w:keepLines w:val="0"/>
        <w:spacing w:after="40" w:before="22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La sentencia número 4420/2025, DE 2 DE OCTUBRE (Sala de lo Social)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sta sentencia de máxima trascendencia declara que: 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as Leyes de Presupuestos autonómicas y las normas reglamentarias NO PUEDEN EMPEORAR lo establecido en el artículo 22.4 EBEP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 El complemento de formación —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y por extensión, todos los pluses percibidos de forma estable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— forman parte del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salario estructural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y deben computarse también en las pagas extraordinarias, vacaciones y períodos de incapacidad temporal. Conforme al EBEP, las pagas extraordinarias deben incluir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"una mensualidad de retribuciones básicas y de la totalidad de los complementos"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"No cabe excluir del importe de las pagas extraordinarias el complemento de formación"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ni otros complementos de naturaleza fija y periódica. Esta doctrina es de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efecto general y vinculante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y abre la puerta a la reclamación de cantidades no percibidas por todos los empleados públicos afectados.</w:t>
      </w:r>
    </w:p>
    <w:p w:rsidR="00000000" w:rsidDel="00000000" w:rsidP="00000000" w:rsidRDefault="00000000" w:rsidRPr="00000000" w14:paraId="00000015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V.-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Esta jurisprudencia consolida una línea interpretativa seguida también por diversos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Tribunales Superiores de Justicia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como el TSJ de Cataluña, que han reconocido idéntico criterio respecto a la integración de complementos habituales en las pagas extraordinarias.</w:t>
      </w:r>
    </w:p>
    <w:p w:rsidR="00000000" w:rsidDel="00000000" w:rsidP="00000000" w:rsidRDefault="00000000" w:rsidRPr="00000000" w14:paraId="00000016">
      <w:pPr>
        <w:keepNext w:val="0"/>
        <w:keepLines w:val="0"/>
        <w:spacing w:after="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C) NATURALEZA DE LOS COMPLEMENTOS EXCLUIDOS</w:t>
      </w:r>
    </w:p>
    <w:p w:rsidR="00000000" w:rsidDel="00000000" w:rsidP="00000000" w:rsidRDefault="00000000" w:rsidRPr="00000000" w14:paraId="00000017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VI.-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Los complementos que la Administración ha venido excluyendo de las pagas extraordinarias del/de la exponente presentan las siguientes características: 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1.-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Complemento de formación permanente (sexenios)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: Se devenga de forma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automática y periódica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mientras se mantenga el cumplimiento de los requisitos de formación acreditada. No depende de una valoración discrecional del rendimiento. No está vinculado a servicios extraordinarios o esporádicos. Constituye un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complemento retributivo estructural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ligado a la carrera profesional docente.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2.-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Complementos por jefatura de departamento, cargos directivos y análogos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: Se perciben de forma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fija y continuada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mientras se mantenga la asignación del puesto o cargo. No son gratificaciones excepcionales ni discrecionales. Retribuyen funciones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inherentes al puesto desempeñado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de manera habitual.</w:t>
      </w:r>
    </w:p>
    <w:p w:rsidR="00000000" w:rsidDel="00000000" w:rsidP="00000000" w:rsidRDefault="00000000" w:rsidRPr="00000000" w14:paraId="0000001A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VII.-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Por tanto, todos estos complementos deben considerarse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retribuciones complementarias de carácter estructural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incluidas en la expresión "totalidad de las retribuciones complementarias" a que se refiere el artículo 22.4 EBEP, y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no pueden quedar excluidos por normas presupuestarias o reglamentarias de rango inferior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 contradigan la norma básica estatal.</w:t>
      </w:r>
    </w:p>
    <w:p w:rsidR="00000000" w:rsidDel="00000000" w:rsidP="00000000" w:rsidRDefault="00000000" w:rsidRPr="00000000" w14:paraId="0000001B">
      <w:pPr>
        <w:keepNext w:val="0"/>
        <w:keepLines w:val="0"/>
        <w:spacing w:after="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D) VULNERACIÓN DEL EBEP Y JURISPRUDENCIA DEL TRIBUNAL SUPREMO</w:t>
      </w:r>
    </w:p>
    <w:p w:rsidR="00000000" w:rsidDel="00000000" w:rsidP="00000000" w:rsidRDefault="00000000" w:rsidRPr="00000000" w14:paraId="0000001C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La práctica administrativa actual vulnera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frontalmente el contenido del artículo 22.4 del EBEP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norma básica estatal de imperativo cumplimiento, la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doctrina consolidada del Tribunal Supremo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(SSTS 822/2025 y 4420/2025), de efecto vinculante,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principio de jerarquía normativa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al pretender que normas presupuestarias autonómicas o reglamentarias prevalezcan sobre la legislación básica estatal,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principio de igualdad retributiva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entre empleados públicos que realizan idénticas funciones.</w:t>
        <w:br w:type="textWrapping"/>
        <w:tab/>
      </w:r>
    </w:p>
    <w:p w:rsidR="00000000" w:rsidDel="00000000" w:rsidP="00000000" w:rsidRDefault="00000000" w:rsidRPr="00000000" w14:paraId="0000001D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IX.- Especialmente, la práctica de abonar únicamente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70% del sueldo base y de los trienios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(retribuciones básicas) en las pagas extraordinarias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contradice abiertamente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el artículo 22.4 EBEP, que exige el abono de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"una mensualidad de retribuciones básicas"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esto es,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100%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spacing w:after="40" w:before="240" w:lineRule="auto"/>
        <w:ind w:firstLine="720"/>
        <w:jc w:val="both"/>
        <w:rPr>
          <w:rFonts w:ascii="Cabin" w:cs="Cabin" w:eastAsia="Cabin" w:hAnsi="Cabin"/>
          <w:b w:val="1"/>
          <w:bCs w:val="1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E) PLAZO DE PRESCRIPCIÓN: ARTÍCULO 25 LEY GENERAL PRESUPUESTARIA</w:t>
      </w:r>
    </w:p>
    <w:p w:rsidR="00000000" w:rsidDel="00000000" w:rsidP="00000000" w:rsidRDefault="00000000" w:rsidRPr="00000000" w14:paraId="0000001F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X.-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artículo 25 de la Ley 47/2003, de 26 de noviembre, General Presupuestaria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establece un plazo de prescripción de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CUATRO AÑOS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para los derechos de contenido económico frente a las Administraciones Públicas.</w:t>
      </w:r>
    </w:p>
    <w:p w:rsidR="00000000" w:rsidDel="00000000" w:rsidP="00000000" w:rsidRDefault="00000000" w:rsidRPr="00000000" w14:paraId="00000020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XI.- Por tanto, tengo derecho a reclamar las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diferencias retributivas dejadas de percibir durante los últimos CUATRO AÑOS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desde la fecha de presentación de esta reclamación, sin perjuicio del derecho a percibir las pagas extraordinarias correctamente calculadas en el futuro.</w:t>
      </w:r>
    </w:p>
    <w:p w:rsidR="00000000" w:rsidDel="00000000" w:rsidP="00000000" w:rsidRDefault="00000000" w:rsidRPr="00000000" w14:paraId="00000021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XII.- A efectos de no perder el derecho a reclamar cantidades correspondientes a ejercicios anteriores, la jurisprudencia recuerda que el plazo de prescripción debe computarse retroactivamente desde la fecha de la reclamación.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Por todo lo expuesto, y conforme a los fundamentos jurídicos señalados,</w:t>
      </w:r>
    </w:p>
    <w:p w:rsidR="00000000" w:rsidDel="00000000" w:rsidP="00000000" w:rsidRDefault="00000000" w:rsidRPr="00000000" w14:paraId="00000023">
      <w:pPr>
        <w:keepNext w:val="0"/>
        <w:keepLines w:val="0"/>
        <w:spacing w:after="80" w:lineRule="auto"/>
        <w:ind w:firstLine="720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bCs w:val="1"/>
          <w:sz w:val="24"/>
          <w:szCs w:val="24"/>
          <w:rtl w:val="0"/>
        </w:rPr>
        <w:t xml:space="preserve">SOLICITA A ESTA ADMINISTRACIÓN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Que se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RECONOZCA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como situación jurídico individualizada el derecho a percibir las pagas extraordinarias de junio y diciembre conforme a lo establecido en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artículo 22.4 del Estatuto Básico del Empleado Público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, esto es: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100% del sueldo base y trienios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(no el 70%) como se viene percibiendo, así como el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100% de todos los complementos retributivos de carácter fijo y periódico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percibidos habitualmente, incluyendo, entre otros, el Complemento de formación permanente (sexenios), el Complementos por jefatura de departamento, el Complementos por cargos directivos y otros complementos análogos de naturaleza estructural, así como se proceda a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RECALCULAR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las pagas extraordinarias devengadas durante los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ÚLTIMOS CUATRO AÑOS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desde la fecha de presentación de esta reclamación, conforme al criterio establecido en las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Sentencias del Tribunal Supremo 822/2025 y 4420/2025 con el correspondiente abono de LAS DIFERENCIAS RETRIBUTIVAS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resultantes de dicho recálculo, con los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intereses legales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que procedan, así como se regularicen las 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cotizaciones a la Seguridad Social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correspondientes, debiendo AJUSTARSE LAS pa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gas extraordinarias futuras</w:t>
      </w: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 al criterio establecido por el Tribunal Supremo y al artículo 22.4 EBEP, garantizando el cumplimiento de la legalidad en adelante.</w:t>
      </w:r>
    </w:p>
    <w:p w:rsidR="00000000" w:rsidDel="00000000" w:rsidP="00000000" w:rsidRDefault="00000000" w:rsidRPr="00000000" w14:paraId="00000024">
      <w:pPr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En _________________, a _____ de _____________ de 2025.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Fdo.: _________________________________</w:t>
      </w:r>
    </w:p>
    <w:p w:rsidR="00000000" w:rsidDel="00000000" w:rsidP="00000000" w:rsidRDefault="00000000" w:rsidRPr="00000000" w14:paraId="00000027">
      <w:pPr>
        <w:jc w:val="both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1440.0000000000002" w:left="1440.0000000000002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Fonts w:ascii="Cabin" w:cs="Cabin" w:eastAsia="Cabin" w:hAnsi="Cabi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